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96" w:rsidRDefault="001F3596">
      <w:pPr>
        <w:rPr>
          <w:b/>
          <w:color w:val="4472C4" w:themeColor="accent1"/>
        </w:rPr>
      </w:pPr>
      <w:bookmarkStart w:id="0" w:name="_GoBack"/>
      <w:bookmarkEnd w:id="0"/>
      <w:r w:rsidRPr="001F3596">
        <w:rPr>
          <w:b/>
          <w:color w:val="4472C4" w:themeColor="accent1"/>
        </w:rPr>
        <w:t>Management Initiated</w:t>
      </w:r>
    </w:p>
    <w:p w:rsidR="00CD2CC2" w:rsidRPr="001F3596" w:rsidRDefault="00CD2CC2">
      <w:pPr>
        <w:rPr>
          <w:b/>
          <w:color w:val="4472C4" w:themeColor="accent1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Review concept of the Reclassification/Reorganization proposal and receive approval to move forward from Commissioner’s Office/Designee</w:t>
      </w:r>
    </w:p>
    <w:p w:rsidR="00E45BC7" w:rsidRDefault="00E45BC7" w:rsidP="00E45BC7">
      <w:pPr>
        <w:spacing w:after="0"/>
        <w:rPr>
          <w:rFonts w:ascii="Calibri" w:hAnsi="Calibri" w:cs="Arial"/>
          <w:color w:val="4472C4" w:themeColor="accent1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 w:rsidRPr="00C1090C">
        <w:rPr>
          <w:rFonts w:ascii="Calibri" w:hAnsi="Calibri" w:cs="Arial"/>
          <w:sz w:val="20"/>
          <w:szCs w:val="20"/>
        </w:rPr>
        <w:t xml:space="preserve"> </w:t>
      </w:r>
      <w:r w:rsidR="00CD2CC2">
        <w:rPr>
          <w:rFonts w:ascii="Calibri" w:hAnsi="Calibri" w:cs="Arial"/>
          <w:sz w:val="20"/>
          <w:szCs w:val="20"/>
        </w:rPr>
        <w:t>Management and HR work together to c</w:t>
      </w:r>
      <w:r>
        <w:rPr>
          <w:rFonts w:ascii="Calibri" w:hAnsi="Calibri" w:cs="Arial"/>
          <w:sz w:val="20"/>
          <w:szCs w:val="20"/>
        </w:rPr>
        <w:t xml:space="preserve">omplete Management Initiated FJA Form </w:t>
      </w:r>
    </w:p>
    <w:p w:rsidR="00E45BC7" w:rsidRDefault="00E45BC7" w:rsidP="00E45BC7">
      <w:pPr>
        <w:spacing w:after="0"/>
        <w:rPr>
          <w:rFonts w:ascii="Calibri" w:hAnsi="Calibri" w:cs="Arial"/>
          <w:color w:val="4472C4" w:themeColor="accent1"/>
          <w:sz w:val="20"/>
          <w:szCs w:val="20"/>
        </w:rPr>
      </w:pP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Complete Management Proposed Reclassification/Reorganization Justification Form </w:t>
      </w:r>
      <w:hyperlink r:id="rId6" w:history="1">
        <w:r w:rsidRPr="003B0A15">
          <w:rPr>
            <w:rStyle w:val="Hyperlink"/>
            <w:rFonts w:ascii="Calibri" w:hAnsi="Calibri" w:cs="Arial"/>
            <w:sz w:val="20"/>
            <w:szCs w:val="20"/>
          </w:rPr>
          <w:t>https://www.maine.gov/bhr/sites/maine.gov.bhr/files/inline-files/Fillable-Mgt-Reorg-Justification-Form_0.rtf</w:t>
        </w:r>
      </w:hyperlink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Identify potential funding for action(s), if necessary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Liaison log</w:t>
      </w:r>
      <w:r w:rsidR="00CD2CC2">
        <w:rPr>
          <w:rFonts w:ascii="Calibri" w:hAnsi="Calibri" w:cs="Arial"/>
          <w:sz w:val="20"/>
          <w:szCs w:val="20"/>
        </w:rPr>
        <w:t>s</w:t>
      </w:r>
      <w:r>
        <w:rPr>
          <w:rFonts w:ascii="Calibri" w:hAnsi="Calibri" w:cs="Arial"/>
          <w:sz w:val="20"/>
          <w:szCs w:val="20"/>
        </w:rPr>
        <w:t xml:space="preserve"> the FJA into database</w:t>
      </w:r>
      <w:r w:rsidR="00CD2CC2">
        <w:rPr>
          <w:rFonts w:ascii="Calibri" w:hAnsi="Calibri" w:cs="Arial"/>
          <w:sz w:val="20"/>
          <w:szCs w:val="20"/>
        </w:rPr>
        <w:t>, and continues to track the progress of the FJA until completed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Liaison obtains Commissioner and HR Director</w:t>
      </w:r>
      <w:r w:rsidR="00FC41F1">
        <w:rPr>
          <w:rFonts w:ascii="Calibri" w:hAnsi="Calibri" w:cs="Arial"/>
          <w:sz w:val="20"/>
          <w:szCs w:val="20"/>
        </w:rPr>
        <w:t xml:space="preserve"> (or designees’)</w:t>
      </w:r>
      <w:r>
        <w:rPr>
          <w:rFonts w:ascii="Calibri" w:hAnsi="Calibri" w:cs="Arial"/>
          <w:sz w:val="20"/>
          <w:szCs w:val="20"/>
        </w:rPr>
        <w:t xml:space="preserve"> signature</w:t>
      </w:r>
      <w:r w:rsidR="00FC41F1">
        <w:rPr>
          <w:rFonts w:ascii="Calibri" w:hAnsi="Calibri" w:cs="Arial"/>
          <w:sz w:val="20"/>
          <w:szCs w:val="20"/>
        </w:rPr>
        <w:t>s</w:t>
      </w:r>
      <w:r>
        <w:rPr>
          <w:rFonts w:ascii="Calibri" w:hAnsi="Calibri" w:cs="Arial"/>
          <w:sz w:val="20"/>
          <w:szCs w:val="20"/>
        </w:rPr>
        <w:t xml:space="preserve"> on first page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Director will assign the audit to a member of the </w:t>
      </w:r>
      <w:r w:rsidR="00395FB8">
        <w:rPr>
          <w:rFonts w:ascii="Calibri" w:hAnsi="Calibri" w:cs="Arial"/>
          <w:sz w:val="20"/>
          <w:szCs w:val="20"/>
        </w:rPr>
        <w:t xml:space="preserve">HR </w:t>
      </w:r>
      <w:r>
        <w:rPr>
          <w:rFonts w:ascii="Calibri" w:hAnsi="Calibri" w:cs="Arial"/>
          <w:sz w:val="20"/>
          <w:szCs w:val="20"/>
        </w:rPr>
        <w:t>unit, or determine review by BHR is necessary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If audit is being done within the Agency/Service Center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CD2CC2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Review the current and proposed job spec’s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E45BC7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Meet with </w:t>
      </w:r>
      <w:r w:rsidR="00CD2CC2">
        <w:rPr>
          <w:rFonts w:ascii="Calibri" w:hAnsi="Calibri" w:cs="Arial"/>
          <w:sz w:val="20"/>
          <w:szCs w:val="20"/>
        </w:rPr>
        <w:t>management to review the contents of the FJA and determine appropriate classification</w:t>
      </w:r>
    </w:p>
    <w:p w:rsidR="00E45BC7" w:rsidRDefault="00E45BC7" w:rsidP="00E45BC7">
      <w:pPr>
        <w:spacing w:after="0"/>
        <w:ind w:firstLine="720"/>
        <w:rPr>
          <w:rFonts w:ascii="Calibri" w:hAnsi="Calibri" w:cs="Arial"/>
          <w:sz w:val="20"/>
          <w:szCs w:val="20"/>
        </w:rPr>
      </w:pPr>
    </w:p>
    <w:p w:rsidR="00CD2CC2" w:rsidRDefault="00E45BC7" w:rsidP="00E45BC7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CD2CC2">
        <w:rPr>
          <w:rFonts w:ascii="Calibri" w:hAnsi="Calibri" w:cs="Arial"/>
          <w:sz w:val="20"/>
          <w:szCs w:val="20"/>
        </w:rPr>
        <w:t>Prepare JA-20</w:t>
      </w:r>
    </w:p>
    <w:p w:rsidR="00CD2CC2" w:rsidRDefault="00CD2CC2" w:rsidP="00E45BC7">
      <w:pPr>
        <w:spacing w:after="0"/>
        <w:ind w:firstLine="720"/>
        <w:rPr>
          <w:rFonts w:ascii="Calibri" w:hAnsi="Calibri" w:cs="Arial"/>
          <w:sz w:val="20"/>
          <w:szCs w:val="20"/>
        </w:rPr>
      </w:pPr>
    </w:p>
    <w:p w:rsidR="00E45BC7" w:rsidRDefault="00CD2CC2" w:rsidP="00E45BC7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Return packet, including JA-20, to HR Liaison for further processing</w:t>
      </w:r>
    </w:p>
    <w:p w:rsidR="00E45BC7" w:rsidRDefault="00E45BC7" w:rsidP="00E45BC7">
      <w:pPr>
        <w:spacing w:after="0"/>
        <w:rPr>
          <w:rFonts w:ascii="Calibri" w:hAnsi="Calibri" w:cs="Arial"/>
          <w:sz w:val="20"/>
          <w:szCs w:val="20"/>
        </w:rPr>
      </w:pPr>
    </w:p>
    <w:p w:rsidR="00E45BC7" w:rsidRDefault="00E45BC7" w:rsidP="00CD2CC2">
      <w:pPr>
        <w:spacing w:after="0"/>
        <w:ind w:left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Liaison gathers complete package, including justifications and PDR, and forwards to the </w:t>
      </w:r>
      <w:r w:rsidR="00CD2CC2">
        <w:rPr>
          <w:rFonts w:ascii="Calibri" w:hAnsi="Calibri" w:cs="Arial"/>
          <w:sz w:val="20"/>
          <w:szCs w:val="20"/>
        </w:rPr>
        <w:t>Bureau of Human Resources</w:t>
      </w:r>
    </w:p>
    <w:p w:rsidR="00CD2CC2" w:rsidRDefault="00CD2CC2" w:rsidP="00CD2CC2">
      <w:pPr>
        <w:spacing w:after="0"/>
        <w:rPr>
          <w:rFonts w:ascii="Calibri" w:hAnsi="Calibri" w:cs="Arial"/>
          <w:sz w:val="20"/>
          <w:szCs w:val="20"/>
        </w:rPr>
      </w:pPr>
    </w:p>
    <w:p w:rsidR="00CD2CC2" w:rsidRDefault="00CD2CC2" w:rsidP="00CD2CC2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If audit is being done by the Bureau of Human Resources</w:t>
      </w:r>
    </w:p>
    <w:p w:rsidR="00CD2CC2" w:rsidRDefault="00CD2CC2" w:rsidP="00CD2CC2">
      <w:pPr>
        <w:spacing w:after="0"/>
        <w:rPr>
          <w:rFonts w:ascii="Calibri" w:hAnsi="Calibri" w:cs="Arial"/>
          <w:sz w:val="20"/>
          <w:szCs w:val="20"/>
        </w:rPr>
      </w:pPr>
    </w:p>
    <w:p w:rsidR="00CD2CC2" w:rsidRDefault="00CD2CC2" w:rsidP="00CD2CC2">
      <w:pPr>
        <w:spacing w:after="0"/>
        <w:ind w:left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Liaison gathers complete package, including justifications and PDR, and forwards to the Bureau of Human Resources</w:t>
      </w:r>
    </w:p>
    <w:p w:rsidR="00CD2CC2" w:rsidRDefault="00CD2CC2" w:rsidP="00CD2CC2">
      <w:pPr>
        <w:spacing w:after="0"/>
        <w:rPr>
          <w:rFonts w:ascii="Calibri" w:hAnsi="Calibri" w:cs="Arial"/>
          <w:sz w:val="20"/>
          <w:szCs w:val="20"/>
        </w:rPr>
      </w:pPr>
    </w:p>
    <w:p w:rsidR="00CD2CC2" w:rsidRDefault="00E45BC7" w:rsidP="00CD2CC2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</w:t>
      </w:r>
      <w:r w:rsidR="00CD2CC2">
        <w:rPr>
          <w:rFonts w:ascii="Calibri" w:hAnsi="Calibri" w:cs="Arial"/>
          <w:sz w:val="20"/>
          <w:szCs w:val="20"/>
        </w:rPr>
        <w:t>BHR analyst will contact p</w:t>
      </w:r>
      <w:r w:rsidRPr="00BC4BD3">
        <w:rPr>
          <w:rFonts w:ascii="Calibri" w:hAnsi="Calibri" w:cs="Arial"/>
          <w:sz w:val="20"/>
          <w:szCs w:val="20"/>
        </w:rPr>
        <w:t xml:space="preserve">rogram managers/directors </w:t>
      </w:r>
      <w:r w:rsidR="00CD2CC2">
        <w:rPr>
          <w:rFonts w:ascii="Calibri" w:hAnsi="Calibri" w:cs="Arial"/>
          <w:sz w:val="20"/>
          <w:szCs w:val="20"/>
        </w:rPr>
        <w:t>to discuss the proposed classification and the contents of the FJA</w:t>
      </w:r>
    </w:p>
    <w:p w:rsidR="00CD2CC2" w:rsidRDefault="00CD2CC2" w:rsidP="00E45BC7">
      <w:pPr>
        <w:spacing w:after="0"/>
        <w:rPr>
          <w:rFonts w:ascii="Calibri" w:hAnsi="Calibri" w:cs="Arial"/>
          <w:sz w:val="20"/>
          <w:szCs w:val="20"/>
        </w:rPr>
      </w:pPr>
    </w:p>
    <w:p w:rsidR="00CD2CC2" w:rsidRDefault="00CD2CC2" w:rsidP="00E45BC7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BHR analyst will prepare the JA-20</w:t>
      </w:r>
    </w:p>
    <w:p w:rsidR="00D06028" w:rsidRDefault="00D06028" w:rsidP="00E45BC7">
      <w:pPr>
        <w:spacing w:after="0"/>
        <w:rPr>
          <w:rFonts w:ascii="Calibri" w:hAnsi="Calibri" w:cs="Arial"/>
          <w:sz w:val="20"/>
          <w:szCs w:val="20"/>
        </w:rPr>
      </w:pPr>
    </w:p>
    <w:p w:rsidR="00D06028" w:rsidRDefault="00D06028" w:rsidP="00D06028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BHR analyst will perform Hay analysis, if necessary </w:t>
      </w:r>
    </w:p>
    <w:p w:rsidR="00CD2CC2" w:rsidRDefault="00CD2CC2" w:rsidP="00E45BC7">
      <w:pPr>
        <w:spacing w:after="0"/>
        <w:rPr>
          <w:rFonts w:ascii="Calibri" w:hAnsi="Calibri" w:cs="Arial"/>
          <w:sz w:val="20"/>
          <w:szCs w:val="20"/>
        </w:rPr>
      </w:pPr>
    </w:p>
    <w:p w:rsidR="00CD2CC2" w:rsidRDefault="00CD2CC2" w:rsidP="00E45BC7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If necessary or requested, BHR analyst will procure a bargaining unit determination from Office of Employee Relations</w:t>
      </w:r>
    </w:p>
    <w:p w:rsidR="00E45BC7" w:rsidRDefault="00CD2CC2" w:rsidP="00E45BC7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E45BC7" w:rsidRPr="00BC4BD3">
        <w:rPr>
          <w:rFonts w:ascii="Calibri" w:hAnsi="Calibri" w:cs="Arial"/>
          <w:sz w:val="20"/>
          <w:szCs w:val="20"/>
        </w:rPr>
        <w:t xml:space="preserve">  </w:t>
      </w:r>
    </w:p>
    <w:bookmarkStart w:id="1" w:name="_Hlk536687387"/>
    <w:p w:rsidR="00E45BC7" w:rsidRPr="00BC4BD3" w:rsidRDefault="00E45BC7" w:rsidP="00E45BC7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BC4BD3">
        <w:rPr>
          <w:rFonts w:ascii="Calibri" w:hAnsi="Calibr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4BD3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BC4BD3">
        <w:rPr>
          <w:rFonts w:ascii="Calibri" w:hAnsi="Calibri" w:cs="Arial"/>
          <w:sz w:val="20"/>
          <w:szCs w:val="20"/>
        </w:rPr>
        <w:fldChar w:fldCharType="end"/>
      </w:r>
      <w:r w:rsidRPr="00BC4BD3">
        <w:rPr>
          <w:rFonts w:ascii="Calibri" w:hAnsi="Calibri" w:cs="Arial"/>
          <w:sz w:val="20"/>
          <w:szCs w:val="20"/>
        </w:rPr>
        <w:t xml:space="preserve"> Program managers/directors and HR will be notified when BHR approves/denies reclassification</w:t>
      </w:r>
      <w:r>
        <w:rPr>
          <w:rFonts w:ascii="Calibri" w:hAnsi="Calibri" w:cs="Arial"/>
          <w:sz w:val="20"/>
          <w:szCs w:val="20"/>
        </w:rPr>
        <w:t>(s)</w:t>
      </w:r>
    </w:p>
    <w:p w:rsidR="00E45BC7" w:rsidRPr="00BC4BD3" w:rsidRDefault="00E45BC7" w:rsidP="00E45BC7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E45BC7" w:rsidRDefault="00E45BC7" w:rsidP="00E45BC7">
      <w:pPr>
        <w:spacing w:after="0" w:line="240" w:lineRule="auto"/>
        <w:ind w:left="720" w:hanging="720"/>
        <w:rPr>
          <w:rFonts w:ascii="Calibri" w:hAnsi="Calibri" w:cs="Arial"/>
          <w:sz w:val="20"/>
          <w:szCs w:val="20"/>
        </w:rPr>
      </w:pPr>
      <w:r w:rsidRPr="00BC4BD3">
        <w:rPr>
          <w:rFonts w:ascii="Calibri" w:hAnsi="Calibr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4BD3">
        <w:rPr>
          <w:rFonts w:ascii="Calibri" w:hAnsi="Calibri" w:cs="Arial"/>
          <w:sz w:val="20"/>
          <w:szCs w:val="20"/>
        </w:rPr>
        <w:instrText xml:space="preserve"> FORMCHECKBOX </w:instrText>
      </w:r>
      <w:r w:rsidR="008F2A35">
        <w:rPr>
          <w:rFonts w:ascii="Calibri" w:hAnsi="Calibri" w:cs="Arial"/>
          <w:sz w:val="20"/>
          <w:szCs w:val="20"/>
        </w:rPr>
      </w:r>
      <w:r w:rsidR="008F2A35">
        <w:rPr>
          <w:rFonts w:ascii="Calibri" w:hAnsi="Calibri" w:cs="Arial"/>
          <w:sz w:val="20"/>
          <w:szCs w:val="20"/>
        </w:rPr>
        <w:fldChar w:fldCharType="separate"/>
      </w:r>
      <w:r w:rsidRPr="00BC4BD3">
        <w:rPr>
          <w:rFonts w:ascii="Calibri" w:hAnsi="Calibri" w:cs="Arial"/>
          <w:sz w:val="20"/>
          <w:szCs w:val="20"/>
        </w:rPr>
        <w:fldChar w:fldCharType="end"/>
      </w:r>
      <w:r w:rsidRPr="00BC4BD3">
        <w:rPr>
          <w:rFonts w:ascii="Calibri" w:hAnsi="Calibri" w:cs="Arial"/>
          <w:sz w:val="20"/>
          <w:szCs w:val="20"/>
        </w:rPr>
        <w:t xml:space="preserve"> </w:t>
      </w:r>
      <w:r w:rsidR="00CD2CC2">
        <w:rPr>
          <w:rFonts w:ascii="Calibri" w:hAnsi="Calibri" w:cs="Arial"/>
          <w:sz w:val="20"/>
          <w:szCs w:val="20"/>
        </w:rPr>
        <w:t xml:space="preserve">Once approved, HR Liaison works with </w:t>
      </w:r>
      <w:r w:rsidRPr="00BC4BD3">
        <w:rPr>
          <w:rFonts w:ascii="Calibri" w:hAnsi="Calibri" w:cs="Arial"/>
          <w:sz w:val="20"/>
          <w:szCs w:val="20"/>
        </w:rPr>
        <w:t>the Bureau of Budget for funding approval</w:t>
      </w:r>
      <w:r w:rsidR="00CD2CC2">
        <w:rPr>
          <w:rFonts w:ascii="Calibri" w:hAnsi="Calibri" w:cs="Arial"/>
          <w:sz w:val="20"/>
          <w:szCs w:val="20"/>
        </w:rPr>
        <w:t xml:space="preserve"> and to set effective date</w:t>
      </w:r>
    </w:p>
    <w:bookmarkEnd w:id="1"/>
    <w:p w:rsidR="00E45BC7" w:rsidRPr="00BC4BD3" w:rsidRDefault="00E45BC7" w:rsidP="00E45BC7">
      <w:pPr>
        <w:spacing w:after="0" w:line="240" w:lineRule="auto"/>
        <w:ind w:left="720" w:hanging="720"/>
        <w:rPr>
          <w:rFonts w:ascii="Calibri" w:hAnsi="Calibri" w:cs="Arial"/>
          <w:sz w:val="20"/>
          <w:szCs w:val="20"/>
        </w:rPr>
      </w:pPr>
    </w:p>
    <w:p w:rsidR="001F3596" w:rsidRPr="00325DA3" w:rsidRDefault="001F3596" w:rsidP="00325DA3">
      <w:pPr>
        <w:spacing w:after="0"/>
      </w:pPr>
    </w:p>
    <w:sectPr w:rsidR="001F3596" w:rsidRPr="00325DA3" w:rsidSect="00325DA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9F5" w:rsidRDefault="007179F5" w:rsidP="00325DA3">
      <w:pPr>
        <w:spacing w:after="0" w:line="240" w:lineRule="auto"/>
      </w:pPr>
      <w:r>
        <w:separator/>
      </w:r>
    </w:p>
  </w:endnote>
  <w:endnote w:type="continuationSeparator" w:id="0">
    <w:p w:rsidR="007179F5" w:rsidRDefault="007179F5" w:rsidP="0032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9F5" w:rsidRDefault="007179F5" w:rsidP="00325DA3">
      <w:pPr>
        <w:spacing w:after="0" w:line="240" w:lineRule="auto"/>
      </w:pPr>
      <w:r>
        <w:separator/>
      </w:r>
    </w:p>
  </w:footnote>
  <w:footnote w:type="continuationSeparator" w:id="0">
    <w:p w:rsidR="007179F5" w:rsidRDefault="007179F5" w:rsidP="0032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DA3" w:rsidRDefault="00325DA3">
    <w:pPr>
      <w:pStyle w:val="Header"/>
      <w:rPr>
        <w:rFonts w:ascii="Arial" w:hAnsi="Arial" w:cs="Arial"/>
        <w:b/>
        <w:color w:val="4472C4" w:themeColor="accent1"/>
        <w:sz w:val="24"/>
        <w:szCs w:val="24"/>
      </w:rPr>
    </w:pPr>
    <w:r w:rsidRPr="00325DA3">
      <w:rPr>
        <w:rFonts w:ascii="Arial" w:hAnsi="Arial" w:cs="Arial"/>
        <w:b/>
        <w:color w:val="4472C4" w:themeColor="accent1"/>
        <w:sz w:val="24"/>
        <w:szCs w:val="24"/>
      </w:rPr>
      <w:t>Functional Job Analysis (FJA-1) Process</w:t>
    </w:r>
    <w:r w:rsidR="00E45BC7">
      <w:rPr>
        <w:rFonts w:ascii="Arial" w:hAnsi="Arial" w:cs="Arial"/>
        <w:b/>
        <w:color w:val="4472C4" w:themeColor="accent1"/>
        <w:sz w:val="24"/>
        <w:szCs w:val="24"/>
      </w:rPr>
      <w:t xml:space="preserve"> Checklist</w:t>
    </w:r>
  </w:p>
  <w:p w:rsidR="00325DA3" w:rsidRPr="00325DA3" w:rsidRDefault="00325DA3">
    <w:pPr>
      <w:pStyle w:val="Header"/>
      <w:rPr>
        <w:rFonts w:ascii="Arial" w:hAnsi="Arial" w:cs="Arial"/>
        <w:b/>
        <w:color w:val="4472C4" w:themeColor="accent1"/>
        <w:sz w:val="24"/>
        <w:szCs w:val="24"/>
      </w:rPr>
    </w:pPr>
    <w:r>
      <w:rPr>
        <w:rFonts w:ascii="Arial" w:hAnsi="Arial" w:cs="Arial"/>
        <w:b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17591</wp:posOffset>
              </wp:positionH>
              <wp:positionV relativeFrom="paragraph">
                <wp:posOffset>61660</wp:posOffset>
              </wp:positionV>
              <wp:extent cx="6875813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5813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6EAC7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4.85pt" to="542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" strokecolor="#4472c4 [3204]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A3"/>
    <w:rsid w:val="00080561"/>
    <w:rsid w:val="001F3596"/>
    <w:rsid w:val="00325DA3"/>
    <w:rsid w:val="0038382F"/>
    <w:rsid w:val="00395FB8"/>
    <w:rsid w:val="006F2D25"/>
    <w:rsid w:val="00712ED7"/>
    <w:rsid w:val="007179F5"/>
    <w:rsid w:val="00752D11"/>
    <w:rsid w:val="008F2A35"/>
    <w:rsid w:val="00B145D8"/>
    <w:rsid w:val="00B4154B"/>
    <w:rsid w:val="00BC4BD3"/>
    <w:rsid w:val="00CD2CC2"/>
    <w:rsid w:val="00D06028"/>
    <w:rsid w:val="00E45BC7"/>
    <w:rsid w:val="00E84FAE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112E90A-BDE4-47B3-ABE7-1C9EA3B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A3"/>
  </w:style>
  <w:style w:type="paragraph" w:styleId="Footer">
    <w:name w:val="footer"/>
    <w:basedOn w:val="Normal"/>
    <w:link w:val="FooterChar"/>
    <w:uiPriority w:val="99"/>
    <w:unhideWhenUsed/>
    <w:rsid w:val="0032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A3"/>
  </w:style>
  <w:style w:type="character" w:styleId="Hyperlink">
    <w:name w:val="Hyperlink"/>
    <w:rsid w:val="00325D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DA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2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4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ine.gov/bhr/sites/maine.gov.bhr/files/inline-files/Fillable-Mgt-Reorg-Justification-Form_0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McGrotty, Lisa</dc:creator>
  <cp:keywords/>
  <dc:description/>
  <cp:lastModifiedBy>Butterfield, Karen G</cp:lastModifiedBy>
  <cp:revision>2</cp:revision>
  <cp:lastPrinted>2019-03-18T12:41:00Z</cp:lastPrinted>
  <dcterms:created xsi:type="dcterms:W3CDTF">2019-12-04T13:38:00Z</dcterms:created>
  <dcterms:modified xsi:type="dcterms:W3CDTF">2019-12-04T13:38:00Z</dcterms:modified>
</cp:coreProperties>
</file>